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59" w:rsidRDefault="00A1505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15059" w:rsidRDefault="00A15059">
      <w:pPr>
        <w:pStyle w:val="ConsPlusNormal"/>
        <w:jc w:val="both"/>
        <w:outlineLvl w:val="0"/>
      </w:pPr>
    </w:p>
    <w:p w:rsidR="00A15059" w:rsidRDefault="00A15059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Правомерно ли включать в график сменности работников сверхурочную работу, если заранее известно о такой потребности в течение ближайших трех месяцев в связи с производственной необходимостью и временной нехваткой работников?</w:t>
      </w:r>
    </w:p>
    <w:p w:rsidR="00A15059" w:rsidRDefault="00A15059">
      <w:pPr>
        <w:pStyle w:val="ConsPlusNormal"/>
        <w:jc w:val="both"/>
      </w:pPr>
    </w:p>
    <w:p w:rsidR="00A15059" w:rsidRDefault="00A15059">
      <w:pPr>
        <w:pStyle w:val="ConsPlusNormal"/>
        <w:ind w:firstLine="540"/>
        <w:jc w:val="both"/>
      </w:pPr>
      <w:r>
        <w:rPr>
          <w:b/>
        </w:rPr>
        <w:t>Ответ:</w:t>
      </w:r>
    </w:p>
    <w:p w:rsidR="00A15059" w:rsidRDefault="00A15059">
      <w:pPr>
        <w:pStyle w:val="ConsPlusTitle"/>
        <w:spacing w:before="200"/>
        <w:jc w:val="center"/>
      </w:pPr>
      <w:r>
        <w:t>ФЕДЕРАЛЬНАЯ СЛУЖБА ПО ТРУДУ И ЗАНЯТОСТИ</w:t>
      </w:r>
    </w:p>
    <w:p w:rsidR="00A15059" w:rsidRDefault="00A15059">
      <w:pPr>
        <w:pStyle w:val="ConsPlusTitle"/>
        <w:jc w:val="center"/>
      </w:pPr>
    </w:p>
    <w:p w:rsidR="00A15059" w:rsidRDefault="00A15059">
      <w:pPr>
        <w:pStyle w:val="ConsPlusTitle"/>
        <w:jc w:val="center"/>
      </w:pPr>
      <w:r>
        <w:t>ПИСЬМО</w:t>
      </w:r>
    </w:p>
    <w:p w:rsidR="00A15059" w:rsidRDefault="00A15059">
      <w:pPr>
        <w:pStyle w:val="ConsPlusTitle"/>
        <w:jc w:val="center"/>
      </w:pPr>
      <w:r>
        <w:t>от 12 марта 2025 г. N ПГ/03285-6-1</w:t>
      </w:r>
    </w:p>
    <w:p w:rsidR="00A15059" w:rsidRDefault="00A15059">
      <w:pPr>
        <w:pStyle w:val="ConsPlusNormal"/>
        <w:jc w:val="both"/>
      </w:pPr>
    </w:p>
    <w:p w:rsidR="00A15059" w:rsidRDefault="00A15059">
      <w:pPr>
        <w:pStyle w:val="ConsPlusNormal"/>
        <w:ind w:firstLine="540"/>
        <w:jc w:val="both"/>
      </w:pPr>
      <w:r>
        <w:t>Федеральная служба по труду и занятости, рассмотрев обращение, зарегистрированное 12 февраля 2025 года, в пределах компетенции сообщает.</w:t>
      </w:r>
    </w:p>
    <w:p w:rsidR="00A15059" w:rsidRDefault="00A15059">
      <w:pPr>
        <w:pStyle w:val="ConsPlusNormal"/>
        <w:spacing w:before="200"/>
        <w:ind w:firstLine="540"/>
        <w:jc w:val="both"/>
      </w:pPr>
      <w:r>
        <w:t xml:space="preserve">Из </w:t>
      </w:r>
      <w:hyperlink r:id="rId6">
        <w:r>
          <w:rPr>
            <w:color w:val="0000FF"/>
          </w:rPr>
          <w:t>части второй статьи 91</w:t>
        </w:r>
      </w:hyperlink>
      <w:r>
        <w:t xml:space="preserve"> Трудового кодекса Российской Федерации (далее - ТК РФ) следует, что нормальная продолжительность рабочего времени не может превышать 40 часов в неделю.</w:t>
      </w:r>
    </w:p>
    <w:p w:rsidR="00A15059" w:rsidRDefault="00A15059">
      <w:pPr>
        <w:pStyle w:val="ConsPlusNormal"/>
        <w:spacing w:before="200"/>
        <w:ind w:firstLine="540"/>
        <w:jc w:val="both"/>
      </w:pPr>
      <w:r>
        <w:t>Работодатель обязан вести учет времени, фактически отработанного каждым работником (</w:t>
      </w:r>
      <w:hyperlink r:id="rId7">
        <w:r>
          <w:rPr>
            <w:color w:val="0000FF"/>
          </w:rPr>
          <w:t>часть четвертая статьи 91</w:t>
        </w:r>
      </w:hyperlink>
      <w:r>
        <w:t xml:space="preserve"> ТК РФ).</w:t>
      </w:r>
    </w:p>
    <w:p w:rsidR="00A15059" w:rsidRDefault="00A150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50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059" w:rsidRDefault="00A150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059" w:rsidRDefault="00A150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5059" w:rsidRDefault="00A1505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15059" w:rsidRDefault="00A15059">
            <w:pPr>
              <w:pStyle w:val="ConsPlusNormal"/>
              <w:jc w:val="both"/>
            </w:pPr>
            <w:r>
              <w:rPr>
                <w:color w:val="392C69"/>
              </w:rPr>
              <w:t>Текст документа приведен в соответствии с оригиналом.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059" w:rsidRDefault="00A15059">
            <w:pPr>
              <w:pStyle w:val="ConsPlusNormal"/>
            </w:pPr>
          </w:p>
        </w:tc>
      </w:tr>
    </w:tbl>
    <w:p w:rsidR="00A15059" w:rsidRDefault="00A15059">
      <w:pPr>
        <w:pStyle w:val="ConsPlusNormal"/>
        <w:spacing w:before="260"/>
        <w:ind w:firstLine="540"/>
        <w:jc w:val="both"/>
      </w:pPr>
      <w:r>
        <w:t xml:space="preserve">В силу </w:t>
      </w:r>
      <w:hyperlink r:id="rId8">
        <w:r>
          <w:rPr>
            <w:color w:val="0000FF"/>
          </w:rPr>
          <w:t>части первой статьи 100</w:t>
        </w:r>
      </w:hyperlink>
      <w:r>
        <w:t xml:space="preserve"> ТК РФ режим рабочего времени устанавливается в организации правилами внутреннего трудового распорядка, утверждаемыми работодателем с учетом мнения представительного органа работников организации в порядке, установленном </w:t>
      </w:r>
      <w:hyperlink r:id="rId9">
        <w:r>
          <w:rPr>
            <w:color w:val="0000FF"/>
          </w:rPr>
          <w:t>статьей 372</w:t>
        </w:r>
      </w:hyperlink>
      <w:r>
        <w:t xml:space="preserve"> ТК РФ для принятия локальных нормативных актов. Для работников, режим рабочего времени которых отличается от общих правил, действующих у данного работодателя, устанавливается трудовым договором.</w:t>
      </w:r>
    </w:p>
    <w:p w:rsidR="00A15059" w:rsidRDefault="00A15059">
      <w:pPr>
        <w:pStyle w:val="ConsPlusNormal"/>
        <w:spacing w:before="200"/>
        <w:ind w:firstLine="540"/>
        <w:jc w:val="both"/>
      </w:pPr>
      <w:r>
        <w:t xml:space="preserve">Как следует из вышеуказанной </w:t>
      </w:r>
      <w:hyperlink r:id="rId10">
        <w:r>
          <w:rPr>
            <w:color w:val="0000FF"/>
          </w:rPr>
          <w:t>статьи</w:t>
        </w:r>
      </w:hyperlink>
      <w:r>
        <w:t xml:space="preserve">, режим рабочего времени должен </w:t>
      </w:r>
      <w:proofErr w:type="gramStart"/>
      <w:r>
        <w:t>предусматривать</w:t>
      </w:r>
      <w:proofErr w:type="gramEnd"/>
      <w:r>
        <w:t xml:space="preserve"> в том числе продолжительность рабочей недели, продолжительность ежедневной работы (смены), время начала и окончания работы, время перерывов в работе, число смен в сутки, чередование рабочих и нерабочих дней.</w:t>
      </w:r>
    </w:p>
    <w:p w:rsidR="00A15059" w:rsidRDefault="00A15059">
      <w:pPr>
        <w:pStyle w:val="ConsPlusNormal"/>
        <w:spacing w:before="200"/>
        <w:ind w:firstLine="540"/>
        <w:jc w:val="both"/>
      </w:pPr>
      <w:hyperlink r:id="rId11">
        <w:r>
          <w:rPr>
            <w:color w:val="0000FF"/>
          </w:rPr>
          <w:t>Порядок</w:t>
        </w:r>
      </w:hyperlink>
      <w:r>
        <w:t xml:space="preserve">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 утвержден приказом Министерства здравоохранения и социального развития Российской Федерации от 13 августа 2009 года N 588н.</w:t>
      </w:r>
    </w:p>
    <w:p w:rsidR="00A15059" w:rsidRDefault="00A15059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12">
        <w:r>
          <w:rPr>
            <w:color w:val="0000FF"/>
          </w:rPr>
          <w:t>частям первой</w:t>
        </w:r>
      </w:hyperlink>
      <w:r>
        <w:t xml:space="preserve">, </w:t>
      </w:r>
      <w:hyperlink r:id="rId13">
        <w:r>
          <w:rPr>
            <w:color w:val="0000FF"/>
          </w:rPr>
          <w:t>второй статьи 103</w:t>
        </w:r>
      </w:hyperlink>
      <w:r>
        <w:t xml:space="preserve"> ТК РФ сменная работа - работа в две, три или четыре смены - вводится в тех случаях, когда длительность производственного процесса превышает допустимую продолжительность ежедневной работы, а также в целях более эффективного использования оборудования, увеличения объема выпускаемой продукции или оказываемых услуг. 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сменности.</w:t>
      </w:r>
    </w:p>
    <w:p w:rsidR="00A15059" w:rsidRDefault="00A15059">
      <w:pPr>
        <w:pStyle w:val="ConsPlusNormal"/>
        <w:spacing w:before="200"/>
        <w:ind w:firstLine="540"/>
        <w:jc w:val="both"/>
      </w:pPr>
      <w:r>
        <w:t xml:space="preserve">При составлении графиков сменности работодатель учитывает мнение представительного органа работников в порядке, установленном </w:t>
      </w:r>
      <w:hyperlink r:id="rId14">
        <w:r>
          <w:rPr>
            <w:color w:val="0000FF"/>
          </w:rPr>
          <w:t>статьей 372</w:t>
        </w:r>
      </w:hyperlink>
      <w:r>
        <w:t xml:space="preserve"> ТК РФ для принятия локальных нормативных актов. Графики сменности, как правило, являются приложением к коллективному договору.</w:t>
      </w:r>
    </w:p>
    <w:p w:rsidR="00A15059" w:rsidRDefault="00A15059">
      <w:pPr>
        <w:pStyle w:val="ConsPlusNormal"/>
        <w:spacing w:before="200"/>
        <w:ind w:firstLine="540"/>
        <w:jc w:val="both"/>
      </w:pPr>
      <w:r>
        <w:t xml:space="preserve">Графики сменности доводятся до сведения работников не </w:t>
      </w:r>
      <w:proofErr w:type="gramStart"/>
      <w:r>
        <w:t>позднее</w:t>
      </w:r>
      <w:proofErr w:type="gramEnd"/>
      <w:r>
        <w:t xml:space="preserve"> чем за один месяц до введения их в действие, за исключением случаев, предусмотренных ТК РФ (</w:t>
      </w:r>
      <w:hyperlink r:id="rId15">
        <w:r>
          <w:rPr>
            <w:color w:val="0000FF"/>
          </w:rPr>
          <w:t>часть четвертая статьи 103</w:t>
        </w:r>
      </w:hyperlink>
      <w:r>
        <w:t xml:space="preserve"> ТК РФ).</w:t>
      </w:r>
    </w:p>
    <w:p w:rsidR="00A15059" w:rsidRDefault="00A15059">
      <w:pPr>
        <w:pStyle w:val="ConsPlusNormal"/>
        <w:spacing w:before="200"/>
        <w:ind w:firstLine="540"/>
        <w:jc w:val="both"/>
      </w:pPr>
      <w:proofErr w:type="gramStart"/>
      <w:r>
        <w:t xml:space="preserve">Для работников, занятых на круглосуточных непрерывных работах, а также на других видах работ, где по условиям производства (работы) не может быть соблюдена установленная ежедневная или еженедельная продолжительность рабочего времени, в соответствии со </w:t>
      </w:r>
      <w:hyperlink r:id="rId16">
        <w:r>
          <w:rPr>
            <w:color w:val="0000FF"/>
          </w:rPr>
          <w:t>статьей 104</w:t>
        </w:r>
      </w:hyperlink>
      <w:r>
        <w:t xml:space="preserve"> ТК РФ допускается введение суммированного учета рабочего времени с учетным периодом - месяц, квартал и другие, но не более года.</w:t>
      </w:r>
      <w:proofErr w:type="gramEnd"/>
      <w:r>
        <w:t xml:space="preserve"> При этом сумма отработанных в этот период часов не может превышать нормального числа рабочих часов в учетном периоде.</w:t>
      </w:r>
    </w:p>
    <w:p w:rsidR="00A15059" w:rsidRDefault="00A15059">
      <w:pPr>
        <w:pStyle w:val="ConsPlusNormal"/>
        <w:spacing w:before="200"/>
        <w:ind w:firstLine="540"/>
        <w:jc w:val="both"/>
      </w:pPr>
      <w:r>
        <w:t xml:space="preserve">Суммарное количество рабочих часов за учетный период не должно превышать норму за тот же </w:t>
      </w:r>
      <w:r>
        <w:lastRenderedPageBreak/>
        <w:t>период времени по производственному календарю.</w:t>
      </w:r>
    </w:p>
    <w:p w:rsidR="00A15059" w:rsidRDefault="00A15059">
      <w:pPr>
        <w:pStyle w:val="ConsPlusNormal"/>
        <w:spacing w:before="200"/>
        <w:ind w:firstLine="540"/>
        <w:jc w:val="both"/>
      </w:pPr>
      <w:r>
        <w:t>При суммированном учете рабочего времени 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(</w:t>
      </w:r>
      <w:hyperlink r:id="rId17">
        <w:r>
          <w:rPr>
            <w:color w:val="0000FF"/>
          </w:rPr>
          <w:t>часть третья статьи 104</w:t>
        </w:r>
      </w:hyperlink>
      <w:r>
        <w:t xml:space="preserve"> ТК РФ).</w:t>
      </w:r>
    </w:p>
    <w:p w:rsidR="00A15059" w:rsidRDefault="00A15059">
      <w:pPr>
        <w:pStyle w:val="ConsPlusNormal"/>
        <w:spacing w:before="200"/>
        <w:ind w:firstLine="540"/>
        <w:jc w:val="both"/>
      </w:pPr>
      <w:r>
        <w:t>Работа в соответствии с графиками сменности осуществляется, как правило, при суммированном учете рабочего времени.</w:t>
      </w:r>
    </w:p>
    <w:p w:rsidR="00A15059" w:rsidRDefault="00A15059">
      <w:pPr>
        <w:pStyle w:val="ConsPlusNormal"/>
        <w:spacing w:before="200"/>
        <w:ind w:firstLine="540"/>
        <w:jc w:val="both"/>
      </w:pPr>
      <w:hyperlink r:id="rId18">
        <w:r>
          <w:rPr>
            <w:color w:val="0000FF"/>
          </w:rPr>
          <w:t>ТК</w:t>
        </w:r>
      </w:hyperlink>
      <w:r>
        <w:t xml:space="preserve"> РФ разрешает работодателю применять любой график работы, при условии, что продолжительность рабочего времени не должна превышать нормального числа рабочих часов, установленного законодательством, а продолжительность еженедельного непрерывного отдыха, согласно </w:t>
      </w:r>
      <w:hyperlink r:id="rId19">
        <w:r>
          <w:rPr>
            <w:color w:val="0000FF"/>
          </w:rPr>
          <w:t>статье 110</w:t>
        </w:r>
      </w:hyperlink>
      <w:r>
        <w:t xml:space="preserve"> ТК РФ, не должна быть менее 42 часов.</w:t>
      </w:r>
    </w:p>
    <w:p w:rsidR="00A15059" w:rsidRDefault="00A15059">
      <w:pPr>
        <w:pStyle w:val="ConsPlusNormal"/>
        <w:spacing w:before="200"/>
        <w:ind w:firstLine="540"/>
        <w:jc w:val="both"/>
      </w:pPr>
      <w:proofErr w:type="gramStart"/>
      <w:r>
        <w:t>Исходя из изложенного работодатель должен</w:t>
      </w:r>
      <w:proofErr w:type="gramEnd"/>
      <w:r>
        <w:t xml:space="preserve"> организовать рабочий процесс так, чтобы за месяц (учетный период) работники полностью отработали норму рабочего времени.</w:t>
      </w:r>
    </w:p>
    <w:p w:rsidR="00A15059" w:rsidRDefault="00A15059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20">
        <w:r>
          <w:rPr>
            <w:color w:val="0000FF"/>
          </w:rPr>
          <w:t>частью первой статьи 99</w:t>
        </w:r>
      </w:hyperlink>
      <w:r>
        <w:t xml:space="preserve"> ТК РФ сверхурочной работой является работа, выполняемая работником по инициативе </w:t>
      </w:r>
      <w:proofErr w:type="gramStart"/>
      <w:r>
        <w:t>работодателя</w:t>
      </w:r>
      <w:proofErr w:type="gramEnd"/>
      <w:r>
        <w:t xml:space="preserve"> за пределами установленной для работника продолжительности рабочего времени: ежедневной работы (смены), а при суммированном учете рабочего времени - сверх нормального числа рабочих часов за учетный период.</w:t>
      </w:r>
    </w:p>
    <w:p w:rsidR="00A15059" w:rsidRDefault="00A150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50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059" w:rsidRDefault="00A150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059" w:rsidRDefault="00A150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5059" w:rsidRDefault="00A1505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15059" w:rsidRDefault="00A15059">
            <w:pPr>
              <w:pStyle w:val="ConsPlusNormal"/>
              <w:jc w:val="both"/>
            </w:pPr>
            <w:r>
              <w:rPr>
                <w:color w:val="392C69"/>
              </w:rPr>
              <w:t xml:space="preserve">В тексте документа, видимо, допущена опечатка: имеется в виду </w:t>
            </w:r>
            <w:hyperlink r:id="rId21">
              <w:r>
                <w:rPr>
                  <w:color w:val="0000FF"/>
                </w:rPr>
                <w:t>часть четвертая статьи 99</w:t>
              </w:r>
            </w:hyperlink>
            <w:r>
              <w:rPr>
                <w:color w:val="392C69"/>
              </w:rPr>
              <w:t xml:space="preserve"> ТК РФ, а не часть пятая.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059" w:rsidRDefault="00A15059">
            <w:pPr>
              <w:pStyle w:val="ConsPlusNormal"/>
            </w:pPr>
          </w:p>
        </w:tc>
      </w:tr>
    </w:tbl>
    <w:p w:rsidR="00A15059" w:rsidRDefault="00A15059">
      <w:pPr>
        <w:pStyle w:val="ConsPlusNormal"/>
        <w:spacing w:before="260"/>
        <w:ind w:firstLine="540"/>
        <w:jc w:val="both"/>
      </w:pPr>
      <w:r>
        <w:t xml:space="preserve">Привлечение работодателем работника к сверхурочной работе допускается с его письменного согласия в случаях, определенных </w:t>
      </w:r>
      <w:hyperlink r:id="rId22">
        <w:r>
          <w:rPr>
            <w:color w:val="0000FF"/>
          </w:rPr>
          <w:t>частью второй статьи 99</w:t>
        </w:r>
      </w:hyperlink>
      <w:r>
        <w:t xml:space="preserve"> ТК РФ, без его согласия - в </w:t>
      </w:r>
      <w:hyperlink r:id="rId23">
        <w:r>
          <w:rPr>
            <w:color w:val="0000FF"/>
          </w:rPr>
          <w:t>части третьей статьи 99</w:t>
        </w:r>
      </w:hyperlink>
      <w:r>
        <w:t xml:space="preserve"> ТК РФ. 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 (</w:t>
      </w:r>
      <w:hyperlink r:id="rId24">
        <w:r>
          <w:rPr>
            <w:color w:val="0000FF"/>
          </w:rPr>
          <w:t>часть пятая статьи 99</w:t>
        </w:r>
      </w:hyperlink>
      <w:r>
        <w:t xml:space="preserve"> ТК РФ).</w:t>
      </w:r>
    </w:p>
    <w:p w:rsidR="00A15059" w:rsidRDefault="00A15059">
      <w:pPr>
        <w:pStyle w:val="ConsPlusNormal"/>
        <w:spacing w:before="200"/>
        <w:ind w:firstLine="540"/>
        <w:jc w:val="both"/>
      </w:pPr>
      <w:r>
        <w:t>Таким образом, полагаем, что включение работодателем в график сменности сверхурочной работы неправомерно.</w:t>
      </w:r>
    </w:p>
    <w:p w:rsidR="00A15059" w:rsidRDefault="00A15059">
      <w:pPr>
        <w:pStyle w:val="ConsPlusNormal"/>
        <w:spacing w:before="200"/>
        <w:ind w:firstLine="540"/>
        <w:jc w:val="both"/>
      </w:pPr>
      <w:r>
        <w:t>Настоящее письмо не является правовым актом.</w:t>
      </w:r>
    </w:p>
    <w:p w:rsidR="00A15059" w:rsidRDefault="00A15059">
      <w:pPr>
        <w:pStyle w:val="ConsPlusNormal"/>
        <w:jc w:val="both"/>
      </w:pPr>
    </w:p>
    <w:p w:rsidR="00A15059" w:rsidRDefault="00A15059">
      <w:pPr>
        <w:pStyle w:val="ConsPlusNormal"/>
        <w:jc w:val="right"/>
      </w:pPr>
      <w:r>
        <w:t>Начальник Правового управления</w:t>
      </w:r>
    </w:p>
    <w:p w:rsidR="00A15059" w:rsidRDefault="00A15059">
      <w:pPr>
        <w:pStyle w:val="ConsPlusNormal"/>
        <w:jc w:val="right"/>
      </w:pPr>
      <w:r>
        <w:t>Б.С.ГУДКО</w:t>
      </w:r>
    </w:p>
    <w:p w:rsidR="00A15059" w:rsidRDefault="00A15059">
      <w:pPr>
        <w:pStyle w:val="ConsPlusNormal"/>
      </w:pPr>
      <w:r>
        <w:t>12.03.2025</w:t>
      </w:r>
    </w:p>
    <w:p w:rsidR="00A15059" w:rsidRDefault="00A15059">
      <w:pPr>
        <w:pStyle w:val="ConsPlusNormal"/>
        <w:jc w:val="both"/>
      </w:pPr>
    </w:p>
    <w:p w:rsidR="00A15059" w:rsidRDefault="00A15059">
      <w:pPr>
        <w:pStyle w:val="ConsPlusNormal"/>
        <w:jc w:val="both"/>
      </w:pPr>
    </w:p>
    <w:p w:rsidR="00A15059" w:rsidRDefault="00A150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0" w:name="_GoBack"/>
      <w:bookmarkEnd w:id="0"/>
    </w:p>
    <w:sectPr w:rsidR="00657939" w:rsidSect="005F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59"/>
    <w:rsid w:val="004C5225"/>
    <w:rsid w:val="00657939"/>
    <w:rsid w:val="00A15059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A15059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A15059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A15059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A15059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A15059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A15059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85&amp;dst=581" TargetMode="External"/><Relationship Id="rId13" Type="http://schemas.openxmlformats.org/officeDocument/2006/relationships/hyperlink" Target="https://login.consultant.ru/link/?req=doc&amp;base=LAW&amp;n=482885&amp;dst=100741" TargetMode="External"/><Relationship Id="rId18" Type="http://schemas.openxmlformats.org/officeDocument/2006/relationships/hyperlink" Target="https://login.consultant.ru/link/?req=doc&amp;base=LAW&amp;n=482885&amp;dst=10073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2885&amp;dst=577" TargetMode="External"/><Relationship Id="rId7" Type="http://schemas.openxmlformats.org/officeDocument/2006/relationships/hyperlink" Target="https://login.consultant.ru/link/?req=doc&amp;base=LAW&amp;n=482885&amp;dst=100678" TargetMode="External"/><Relationship Id="rId12" Type="http://schemas.openxmlformats.org/officeDocument/2006/relationships/hyperlink" Target="https://login.consultant.ru/link/?req=doc&amp;base=LAW&amp;n=482885&amp;dst=100740" TargetMode="External"/><Relationship Id="rId17" Type="http://schemas.openxmlformats.org/officeDocument/2006/relationships/hyperlink" Target="https://login.consultant.ru/link/?req=doc&amp;base=LAW&amp;n=482885&amp;dst=586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885&amp;dst=102519" TargetMode="External"/><Relationship Id="rId20" Type="http://schemas.openxmlformats.org/officeDocument/2006/relationships/hyperlink" Target="https://login.consultant.ru/link/?req=doc&amp;base=LAW&amp;n=482885&amp;dst=56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85&amp;dst=100677" TargetMode="External"/><Relationship Id="rId11" Type="http://schemas.openxmlformats.org/officeDocument/2006/relationships/hyperlink" Target="https://login.consultant.ru/link/?req=doc&amp;base=LAW&amp;n=92167&amp;dst=100013" TargetMode="External"/><Relationship Id="rId24" Type="http://schemas.openxmlformats.org/officeDocument/2006/relationships/hyperlink" Target="https://login.consultant.ru/link/?req=doc&amp;base=LAW&amp;n=482885&amp;dst=292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2885&amp;dst=3024" TargetMode="External"/><Relationship Id="rId23" Type="http://schemas.openxmlformats.org/officeDocument/2006/relationships/hyperlink" Target="https://login.consultant.ru/link/?req=doc&amp;base=LAW&amp;n=482885&amp;dst=573" TargetMode="External"/><Relationship Id="rId10" Type="http://schemas.openxmlformats.org/officeDocument/2006/relationships/hyperlink" Target="https://login.consultant.ru/link/?req=doc&amp;base=LAW&amp;n=482885&amp;dst=581" TargetMode="External"/><Relationship Id="rId19" Type="http://schemas.openxmlformats.org/officeDocument/2006/relationships/hyperlink" Target="https://login.consultant.ru/link/?req=doc&amp;base=LAW&amp;n=482885&amp;dst=1007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85&amp;dst=1292" TargetMode="External"/><Relationship Id="rId14" Type="http://schemas.openxmlformats.org/officeDocument/2006/relationships/hyperlink" Target="https://login.consultant.ru/link/?req=doc&amp;base=LAW&amp;n=482885&amp;dst=1292" TargetMode="External"/><Relationship Id="rId22" Type="http://schemas.openxmlformats.org/officeDocument/2006/relationships/hyperlink" Target="https://login.consultant.ru/link/?req=doc&amp;base=LAW&amp;n=482885&amp;dst=5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1077</Words>
  <Characters>6139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2025-04-22T07:10:00Z</dcterms:created>
  <dcterms:modified xsi:type="dcterms:W3CDTF">2025-04-22T07:11:00Z</dcterms:modified>
</cp:coreProperties>
</file>