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9B" w:rsidRDefault="0048039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8039B" w:rsidRDefault="0048039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8039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039B" w:rsidRDefault="0048039B">
            <w:pPr>
              <w:pStyle w:val="ConsPlusNormal"/>
            </w:pPr>
            <w:r>
              <w:t>9 ноября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039B" w:rsidRDefault="0048039B">
            <w:pPr>
              <w:pStyle w:val="ConsPlusNormal"/>
              <w:jc w:val="right"/>
            </w:pPr>
            <w:r>
              <w:t>N 381-ФЗ</w:t>
            </w:r>
          </w:p>
        </w:tc>
      </w:tr>
    </w:tbl>
    <w:p w:rsidR="0048039B" w:rsidRDefault="004803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039B" w:rsidRDefault="0048039B">
      <w:pPr>
        <w:pStyle w:val="ConsPlusNormal"/>
        <w:jc w:val="center"/>
      </w:pPr>
    </w:p>
    <w:p w:rsidR="0048039B" w:rsidRDefault="0048039B">
      <w:pPr>
        <w:pStyle w:val="ConsPlusTitle"/>
        <w:jc w:val="center"/>
      </w:pPr>
      <w:r>
        <w:t>РОССИЙСКАЯ ФЕДЕРАЦИЯ</w:t>
      </w:r>
    </w:p>
    <w:p w:rsidR="0048039B" w:rsidRDefault="0048039B">
      <w:pPr>
        <w:pStyle w:val="ConsPlusTitle"/>
        <w:jc w:val="center"/>
      </w:pPr>
    </w:p>
    <w:p w:rsidR="0048039B" w:rsidRDefault="0048039B">
      <w:pPr>
        <w:pStyle w:val="ConsPlusTitle"/>
        <w:jc w:val="center"/>
      </w:pPr>
      <w:r>
        <w:t>ФЕДЕРАЛЬНЫЙ ЗАКОН</w:t>
      </w:r>
    </w:p>
    <w:p w:rsidR="0048039B" w:rsidRDefault="0048039B">
      <w:pPr>
        <w:pStyle w:val="ConsPlusTitle"/>
        <w:jc w:val="center"/>
      </w:pPr>
    </w:p>
    <w:p w:rsidR="0048039B" w:rsidRDefault="0048039B">
      <w:pPr>
        <w:pStyle w:val="ConsPlusTitle"/>
        <w:jc w:val="center"/>
      </w:pPr>
      <w:r>
        <w:t>О ВНЕСЕНИИ ИЗМЕНЕНИЯ В ТРУДОВОЙ КОДЕКС РОССИЙСКОЙ ФЕДЕРАЦИИ</w:t>
      </w:r>
    </w:p>
    <w:p w:rsidR="0048039B" w:rsidRDefault="0048039B">
      <w:pPr>
        <w:pStyle w:val="ConsPlusNormal"/>
        <w:jc w:val="center"/>
      </w:pPr>
    </w:p>
    <w:p w:rsidR="0048039B" w:rsidRDefault="0048039B">
      <w:pPr>
        <w:pStyle w:val="ConsPlusNormal"/>
        <w:jc w:val="right"/>
      </w:pPr>
      <w:proofErr w:type="gramStart"/>
      <w:r>
        <w:t>Принят</w:t>
      </w:r>
      <w:proofErr w:type="gramEnd"/>
    </w:p>
    <w:p w:rsidR="0048039B" w:rsidRDefault="0048039B">
      <w:pPr>
        <w:pStyle w:val="ConsPlusNormal"/>
        <w:jc w:val="right"/>
      </w:pPr>
      <w:r>
        <w:t>Государственной Думой</w:t>
      </w:r>
    </w:p>
    <w:p w:rsidR="0048039B" w:rsidRDefault="0048039B">
      <w:pPr>
        <w:pStyle w:val="ConsPlusNormal"/>
        <w:jc w:val="right"/>
      </w:pPr>
      <w:r>
        <w:t>29 октября 2024 года</w:t>
      </w:r>
    </w:p>
    <w:p w:rsidR="0048039B" w:rsidRDefault="0048039B">
      <w:pPr>
        <w:pStyle w:val="ConsPlusNormal"/>
        <w:jc w:val="right"/>
      </w:pPr>
    </w:p>
    <w:p w:rsidR="0048039B" w:rsidRDefault="0048039B">
      <w:pPr>
        <w:pStyle w:val="ConsPlusNormal"/>
        <w:jc w:val="right"/>
      </w:pPr>
      <w:r>
        <w:t>Одобрен</w:t>
      </w:r>
    </w:p>
    <w:p w:rsidR="0048039B" w:rsidRDefault="0048039B">
      <w:pPr>
        <w:pStyle w:val="ConsPlusNormal"/>
        <w:jc w:val="right"/>
      </w:pPr>
      <w:r>
        <w:t>Советом Федерации</w:t>
      </w:r>
    </w:p>
    <w:p w:rsidR="0048039B" w:rsidRDefault="0048039B">
      <w:pPr>
        <w:pStyle w:val="ConsPlusNormal"/>
        <w:jc w:val="right"/>
      </w:pPr>
      <w:r>
        <w:t>6 ноября 2024 года</w:t>
      </w:r>
    </w:p>
    <w:p w:rsidR="0048039B" w:rsidRDefault="0048039B">
      <w:pPr>
        <w:pStyle w:val="ConsPlusNormal"/>
        <w:jc w:val="right"/>
      </w:pPr>
    </w:p>
    <w:p w:rsidR="0048039B" w:rsidRDefault="0048039B">
      <w:pPr>
        <w:pStyle w:val="ConsPlusTitle"/>
        <w:ind w:firstLine="540"/>
        <w:jc w:val="both"/>
        <w:outlineLvl w:val="0"/>
      </w:pPr>
      <w:r>
        <w:t>Статья 1</w:t>
      </w:r>
    </w:p>
    <w:p w:rsidR="0048039B" w:rsidRDefault="0048039B">
      <w:pPr>
        <w:pStyle w:val="ConsPlusNormal"/>
        <w:ind w:firstLine="540"/>
        <w:jc w:val="both"/>
      </w:pPr>
    </w:p>
    <w:p w:rsidR="0048039B" w:rsidRDefault="0048039B">
      <w:pPr>
        <w:pStyle w:val="ConsPlusNormal"/>
        <w:ind w:firstLine="540"/>
        <w:jc w:val="both"/>
      </w:pPr>
      <w:r>
        <w:t xml:space="preserve">Внести в </w:t>
      </w:r>
      <w:hyperlink r:id="rId6">
        <w:r>
          <w:rPr>
            <w:color w:val="0000FF"/>
          </w:rPr>
          <w:t>главу 55</w:t>
        </w:r>
      </w:hyperlink>
      <w:r>
        <w:t xml:space="preserve"> Трудового кодекса Российской Федерации (Собрание законодательства Российской Федерации, 2002, N 1, ст. 3) изменение, дополнив ее статьей 351.8 следующего содержания:</w:t>
      </w:r>
    </w:p>
    <w:p w:rsidR="0048039B" w:rsidRDefault="0048039B">
      <w:pPr>
        <w:pStyle w:val="ConsPlusNormal"/>
        <w:ind w:firstLine="540"/>
        <w:jc w:val="both"/>
      </w:pPr>
    </w:p>
    <w:p w:rsidR="0048039B" w:rsidRDefault="0048039B">
      <w:pPr>
        <w:pStyle w:val="ConsPlusNormal"/>
        <w:ind w:firstLine="540"/>
        <w:jc w:val="both"/>
      </w:pPr>
      <w:r>
        <w:t>"Статья 351.8. Особенности регулирования труда работников, выполняющих работу по наставничеству в сфере труда</w:t>
      </w:r>
    </w:p>
    <w:p w:rsidR="0048039B" w:rsidRDefault="0048039B">
      <w:pPr>
        <w:pStyle w:val="ConsPlusNormal"/>
        <w:ind w:firstLine="540"/>
        <w:jc w:val="both"/>
      </w:pPr>
    </w:p>
    <w:p w:rsidR="0048039B" w:rsidRDefault="0048039B">
      <w:pPr>
        <w:pStyle w:val="ConsPlusNormal"/>
        <w:ind w:firstLine="540"/>
        <w:jc w:val="both"/>
      </w:pPr>
      <w:r>
        <w:t>Наставничество в сфере труда (далее - наставничество) -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(специальности).</w:t>
      </w:r>
    </w:p>
    <w:p w:rsidR="0048039B" w:rsidRDefault="0048039B">
      <w:pPr>
        <w:pStyle w:val="ConsPlusNormal"/>
        <w:spacing w:before="200"/>
        <w:ind w:firstLine="540"/>
        <w:jc w:val="both"/>
      </w:pPr>
      <w:r>
        <w:t>В трудовом договоре или дополнительном соглашении к трудовому договору с работником, которому работодатель поручает работу по наставничеству, указываются содержание, сроки и форма выполнения такой работы.</w:t>
      </w:r>
    </w:p>
    <w:p w:rsidR="0048039B" w:rsidRDefault="0048039B">
      <w:pPr>
        <w:pStyle w:val="ConsPlusNormal"/>
        <w:spacing w:before="200"/>
        <w:ind w:firstLine="540"/>
        <w:jc w:val="both"/>
      </w:pPr>
      <w:r>
        <w:t>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 могут устанавливаться размеры и условия осуществления выплат за наставничество работникам соответственно федеральных государственных учреждений, государственных учреждений субъектов Российской Федерации, муниципальных учреждений.</w:t>
      </w:r>
    </w:p>
    <w:p w:rsidR="0048039B" w:rsidRDefault="0048039B">
      <w:pPr>
        <w:pStyle w:val="ConsPlusNormal"/>
        <w:spacing w:before="200"/>
        <w:ind w:firstLine="540"/>
        <w:jc w:val="both"/>
      </w:pPr>
      <w:r>
        <w:t>Размеры и условия осуществления выплат за наставничество работникам иных организаций могут устанавливаться коллективными договорами, соглашениями, локальными нормативными актами.</w:t>
      </w:r>
    </w:p>
    <w:p w:rsidR="0048039B" w:rsidRDefault="0048039B">
      <w:pPr>
        <w:pStyle w:val="ConsPlusNormal"/>
        <w:spacing w:before="200"/>
        <w:ind w:firstLine="540"/>
        <w:jc w:val="both"/>
      </w:pPr>
      <w:r>
        <w:t xml:space="preserve">Размеры и условия осуществления выплат за наставничество работнику устанавливаются трудовым договором или дополнительным соглашением </w:t>
      </w:r>
      <w:proofErr w:type="gramStart"/>
      <w:r>
        <w:t>к трудовому договору в соответствии с действующими у работодателя системами оплаты труда с учетом</w:t>
      </w:r>
      <w:proofErr w:type="gramEnd"/>
      <w:r>
        <w:t xml:space="preserve"> содержания и (или) объема работы по наставничеству. Указанные размеры и условия осуществления выплат за наставничество должны быть не хуже, чем размеры и условия осуществления выплат за наставничество, установленные нормативными правовыми актами, соглашениями в соответствующей сфере.</w:t>
      </w:r>
    </w:p>
    <w:p w:rsidR="0048039B" w:rsidRDefault="0048039B">
      <w:pPr>
        <w:pStyle w:val="ConsPlusNormal"/>
        <w:spacing w:before="200"/>
        <w:ind w:firstLine="540"/>
        <w:jc w:val="both"/>
      </w:pPr>
      <w:r>
        <w:t>Работник имеет право досрочно отказаться от осуществления им наставничества, а работодатель - досрочно отменить поручение об осуществлении наставничества, предупредив об этом работника не менее чем за три рабочих дня</w:t>
      </w:r>
      <w:proofErr w:type="gramStart"/>
      <w:r>
        <w:t>.".</w:t>
      </w:r>
      <w:proofErr w:type="gramEnd"/>
    </w:p>
    <w:p w:rsidR="0048039B" w:rsidRDefault="0048039B">
      <w:pPr>
        <w:pStyle w:val="ConsPlusNormal"/>
        <w:ind w:firstLine="540"/>
        <w:jc w:val="both"/>
      </w:pPr>
    </w:p>
    <w:p w:rsidR="0048039B" w:rsidRDefault="0048039B">
      <w:pPr>
        <w:pStyle w:val="ConsPlusTitle"/>
        <w:ind w:firstLine="540"/>
        <w:jc w:val="both"/>
        <w:outlineLvl w:val="0"/>
      </w:pPr>
      <w:r>
        <w:t>Статья 2</w:t>
      </w:r>
    </w:p>
    <w:p w:rsidR="0048039B" w:rsidRDefault="0048039B">
      <w:pPr>
        <w:pStyle w:val="ConsPlusNormal"/>
        <w:ind w:firstLine="540"/>
        <w:jc w:val="both"/>
      </w:pPr>
    </w:p>
    <w:p w:rsidR="0048039B" w:rsidRDefault="0048039B">
      <w:pPr>
        <w:pStyle w:val="ConsPlusNormal"/>
        <w:ind w:firstLine="540"/>
        <w:jc w:val="both"/>
      </w:pPr>
      <w:r>
        <w:t>Настоящий Федеральный закон вступает в силу с 1 марта 2025 года.</w:t>
      </w:r>
    </w:p>
    <w:p w:rsidR="0048039B" w:rsidRDefault="0048039B">
      <w:pPr>
        <w:pStyle w:val="ConsPlusNormal"/>
        <w:ind w:firstLine="540"/>
        <w:jc w:val="both"/>
      </w:pPr>
    </w:p>
    <w:p w:rsidR="0048039B" w:rsidRDefault="0048039B">
      <w:pPr>
        <w:pStyle w:val="ConsPlusNormal"/>
        <w:jc w:val="right"/>
      </w:pPr>
      <w:r>
        <w:t>Президент</w:t>
      </w:r>
    </w:p>
    <w:p w:rsidR="0048039B" w:rsidRDefault="0048039B">
      <w:pPr>
        <w:pStyle w:val="ConsPlusNormal"/>
        <w:jc w:val="right"/>
      </w:pPr>
      <w:r>
        <w:t>Российской Федерации</w:t>
      </w:r>
    </w:p>
    <w:p w:rsidR="0048039B" w:rsidRDefault="0048039B">
      <w:pPr>
        <w:pStyle w:val="ConsPlusNormal"/>
        <w:jc w:val="right"/>
      </w:pPr>
      <w:r>
        <w:lastRenderedPageBreak/>
        <w:t>В.ПУТИН</w:t>
      </w:r>
    </w:p>
    <w:p w:rsidR="0048039B" w:rsidRDefault="0048039B">
      <w:pPr>
        <w:pStyle w:val="ConsPlusNormal"/>
      </w:pPr>
      <w:r>
        <w:t>Москва, Кремль</w:t>
      </w:r>
    </w:p>
    <w:p w:rsidR="0048039B" w:rsidRDefault="0048039B">
      <w:pPr>
        <w:pStyle w:val="ConsPlusNormal"/>
        <w:spacing w:before="200"/>
      </w:pPr>
      <w:r>
        <w:t>9 ноября 2024 года</w:t>
      </w:r>
    </w:p>
    <w:p w:rsidR="0048039B" w:rsidRDefault="0048039B">
      <w:pPr>
        <w:pStyle w:val="ConsPlusNormal"/>
        <w:spacing w:before="200"/>
      </w:pPr>
      <w:r>
        <w:t>N 381-ФЗ</w:t>
      </w:r>
    </w:p>
    <w:p w:rsidR="0048039B" w:rsidRDefault="0048039B">
      <w:pPr>
        <w:pStyle w:val="ConsPlusNormal"/>
        <w:jc w:val="both"/>
      </w:pPr>
    </w:p>
    <w:p w:rsidR="0048039B" w:rsidRDefault="0048039B">
      <w:pPr>
        <w:pStyle w:val="ConsPlusNormal"/>
        <w:jc w:val="both"/>
      </w:pPr>
    </w:p>
    <w:p w:rsidR="0048039B" w:rsidRDefault="004803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0" w:name="_GoBack"/>
      <w:bookmarkEnd w:id="0"/>
    </w:p>
    <w:sectPr w:rsidR="00657939" w:rsidSect="00E0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9B"/>
    <w:rsid w:val="0048039B"/>
    <w:rsid w:val="004C5225"/>
    <w:rsid w:val="00657939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48039B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48039B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48039B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48039B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48039B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48039B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79&amp;dst=101932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Статья 1</vt:lpstr>
      <vt:lpstr>Статья 2</vt:lpstr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2025-04-04T08:31:00Z</dcterms:created>
  <dcterms:modified xsi:type="dcterms:W3CDTF">2025-04-04T08:32:00Z</dcterms:modified>
</cp:coreProperties>
</file>